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371. “推拿理疗，持证上岗”——中医推拿理疗消费与从业资格认知研究（第十三批）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研究对象：去中医馆/推拿理疗馆消费的顾客及从业者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核心变量/研究问题：消费频次与项目（推拿/艾灸/拔罐）、价格接受、技师资质认知、证件鉴别（等级证vs速成证）、信任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中医馆/理疗店现场问卷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6月起"中医推拿按摩师"不再是国家准入类职业资格、转为职业技能等级认定（人社部门备案第三方机构发证）；✅依据《国家职业技能标准——保健按摩师（2023年版）》；✅警惕"七天拿证""免考包过"（监管提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