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383. “罕见病，不被放弃的群体”——罕见病用药可及性与保障认知研究（第十三批）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研究对象：罕见病患者家属、医护人员、公益组织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核心变量/研究问题：用药负担、医保目录纳入知晓、慈善援助、异地就医、心理支持、政策期待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研究阶段：早期+中期（公益深度）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罕见病公益组织（病痛挑战基金会）渠道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🔶罕见病目录（卫健委第一批/第二批目录）；✅医保谈判罕见病用药纳入（国家医保局政策）；🔶"孤儿药"可及性数据（学术/行业报告需核验）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