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441. “睡个好觉，失眠门诊”——睡眠障碍就医、睡眠健康服务消费研究（第十五批）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第十五批（宠物服务×即时便利×乡村农业×文旅新场景×大健康2.0×教育新职业）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研究对象：有失眠/睡眠困扰并寻求干预（门诊/监测/助眠产品）的成年人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核心变量/研究问题：睡眠困扰类型、就医渠道（睡眠门诊/CBT-I）、监测设备使用（手环/脑电）、费用与疗效、复发管理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所属选题库：正大杯第十五批30个特色选题（宠物服务/即时便利/乡村农业/文旅新场景/大健康2.0/教育新职业）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睡眠门诊/健康管理中心渠道；与79题（睡眠经济）、312题（智能床垫）区分：聚焦医疗干预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🔶失眠人群规模（中国睡眠研究会数据需核验）；✅睡眠经济5737亿（第三批已核验）；✅国家心理健康服务体系建设（背景）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