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445. “运动处方，体医融合”——运动处方、体医融合康复服务消费研究（第十五批）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研究对象：接受过运动康复指导/运动处方的慢性病人群及运动爱好者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核心变量/研究问题：获取渠道（医院运动门诊/康复机构/健身工作室）、处方内容、费用、执行依从、效果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研究阶段：早期+中期（前沿）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运动康复机构/体医融合门诊渠道；与276题（运动康复）区分：聚焦体医融合制度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🔶运动处方推广（国家体育总局/卫健委体医融合政策）；✅全民健身纲要（背景）；✅私教500亿市场（第九轮证据）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