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46. “AI 就医，可信几何”——公众对 AI 医疗健康咨询工具的使用意愿与信任研究（第二批）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研究对象：18—60 岁使用过在线问诊/AI 健康咨询的公众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核心变量/研究问题：感知风险、信任、信息质量、使用意愿、行为意向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健康类 App 用户可触达；需谨慎设计（医疗非诊断声明）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✅AIGC 应用向医疗健康领域渗透（行业报告🔶待核验）；✅AIGC 内容风控与合规监管持续推进（网信办备案 748 款）；政策法规：国家卫健委 AI 医疗管理文件（🔶待核验原文）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