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81. “中医药潮，年轻人新宠”——青年中医药养生消费行为与影响因素研究（第三批）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研究对象：18—40岁有中医药养生消费的青年（药食同源/针灸推拿/八段锦/中药茶饮）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核心变量/研究问题：健康观念、养生动机、消费类型、频次金额、满意度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中药茶饮店/中医院治未病科/养生青年社群渠道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🔶中医药养生消费年轻化趋势（行业报告/媒体，待核验原文）；✅国家中医药政策：《中医药发展战略规划纲要》持续推进（政策背景）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