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82. “科学减重，健康管理”——减重消费需求与健康管理服务使用意愿研究（第三批）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研究对象：有减重需求的18—50岁人群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核心变量/研究问题：减重动机、方式选择（健身/代餐/医学干预）、支出、效果感知、健康风险认知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健身房/减重社群/健康管理机构渠道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🔶减重药物（GLP-1类）全球市场爆发、国内司美格鲁肽等获批（行业报道，须下载原文核对）；✅"健康中国"战略与体重管理年行动（政策背景，🔶具体文件待核验）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