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87. “朋克养生，青年新解”——青年“健康焦虑”驱动的新型养生消费研究（第三批）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第三批（促消费×新零售×文旅×健康×民生）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研究对象：18—35岁进行养生消费的青年（保温杯泡枸杞/营养保健品/中医调理）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核心变量/研究问题：健康焦虑、作息状态、养生动机、消费行为、效果感知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所属选题库：正大杯第三批30个热点选题（促消费/新零售/文旅/健康/民生）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校园+职场青年渠道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🔶"边熬夜边养生"朋克养生现象（媒体高频话题，待引用权威报告）；✅近八成青年存在情绪压力（艾媒2026抽样，可与情绪经济板块衔接）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