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134. “钢铁森林，景区新景”——在产钢厂变景区（如方大特钢4A钢铁文化园）的游客体验研究（第五+六批）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研究对象：去过钢铁/重工业主题园区的游客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核心变量/研究问题：反差感体验、科普价值、环境改善感知（"厂区即景区"）、消费、重游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研究阶段：早期（标杆案例）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钢铁文化园/工业博物馆现场调研；案例独特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✅方大特钢（南昌）建成4A级钢铁文化园；方大达钢（达州）2026年2月揭牌3A旅游景区、"厂区即景区、生产即展示"；✅沈阳中国工业博物馆2025年接待量133万人次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