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19. “数字校园，服务重构”——高校学生对 AI 校园服务的需求与使用意愿研究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仅供参赛团队研究使用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研究对象：高校学生。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核心变量/研究问题：AI 校园客服、智能排课、学习服务、就业服务、隐私、安全、使用意愿。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研究阶段：初期需求调查。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所属选题库：正大杯30个最新热点选题（topic-selection）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一所高校内做年级、专业和学历层次比较。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S4，高校改革政策；S7，AIGC 应用研究报告。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提示：行业报告与政策来源需在参赛前下载原文核对；本地市场结论须以问卷、访谈数据为准。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四、选题依据（研究背景）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