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228. “非遗工坊，亲手体验”——非遗技艺体验（非遗工坊、研学课程）消费意愿研究（第八批）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研究对象：参加过非遗体验课（扎染/剪纸/陶艺/漆器）的消费者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核心变量/研究问题：体验动机（文化/亲子/疗愈）、课程价格接受、师资信任、满意度、复购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非遗工坊/文化馆渠道；与25题（非遗文创购买）区分：聚焦体验消费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🔶非遗体验经济（文旅部非遗旅游数据需核验）；✅《关于推动非物质文化遗产与旅游深度融合发展的通知》（文旅部政策背景）；✅非遗工坊建设（国家乡村振兴局/文旅部数据🔶）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