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231. “古籍修复，慢工出细活”——传统技艺体验课程（古籍修复、装裱、篆刻）消费意愿研究（第八批）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研究对象：对传统文化技艺课程感兴趣的都市人群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核心变量/研究问题：课程兴趣、价格接受、师资与场域、学习动机（修养/职业）、参与意愿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图书馆/文博机构课程渠道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🔶"新中式生活方式"（媒体现象报道）；✅公共文化服务政策背景；✅文旅部非遗人才培养政策（🔶）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