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350. “琴童的周末，艺术考级”——少儿艺术培训（美术、乐器、舞蹈考级）消费研究（第十二批）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研究对象：给孩子报艺术培训的家长（4—12岁）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核心变量/研究问题：报班动机（考级/兴趣/升学）、课程费用、课时安排、考级热态度、双减后变化、满意度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培训机构/学校渠道；与225题（体适能）、261-265（阅读教育）区分：聚焦艺术考级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🔶艺术培训市场（双减后行业报告需下载）；✅K12素质教育培训政策（"双减"后利好素养类背景）；✅美育政策（教育部"美育纳入中考"讨论🔶）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