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375. “AI考证热，速成还是速朽”——AI相关证书、速成班报考与防骗研究（补充更新批）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第十三批（361-390）·补充更新（2026-10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研究对象：报考AI证书/AI课（提示词工程、AIGC认证等）的职场人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核心变量/研究问题：报考动机（求职/涨薪/焦虑）、课程费用（几千-上万）、证书含金量识别、防骗经历（割韭菜）、收益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研究阶段：中期（风口+乱象）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培训机构/职场社群渠道；与447（职业技能等级认定）区分：聚焦AI新职业培训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🔶"AI培训割韭菜"媒体曝光（需引原文）；✅AI人才缺口（人社部/猎聘报告🔶）；✅警惕"免考包过"官方提示（375原题证据复用）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