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379. “技能升级，AI时代的饭碗”——职场人数字技能培训（AI、数据分析）消费意愿研究（第十三批）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研究对象：在职人群（25—45岁）及在校生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核心变量/研究问题：AI技能焦虑、培训课程选择（线上/线下）、价格接受（几千元）、证书价值、培训效果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研究阶段：中期（风口）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培训机构/知识付费用户渠道；与249题（知识付费）区分：聚焦职业数字技能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✅生成式AI用户5.15亿（已核验）；✅AI渗透行业超80%（国家发改委）；🔶数字技能培训市场（机构报告需核验）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