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400. “老手艺体验课，非遗新传承”——非遗、老字号技艺体验研学消费研究（第十四批）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第十四批（夜间经济×老字号焕新×惠民保障×贵金属理财×文化消费×社区公共）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研究对象：参加过非遗技艺/老字号手作体验课（制茶/制香/糕点）的消费者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核心变量/研究问题：体验课动机（亲子/社交/文化）、课程价格、沉浸感评价、作品留存、家庭/亲子参与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研究阶段：早期+中期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所属选题库：正大杯第十四批30个特色选题（夜间经济/老字号焕新/惠民保障/贵金属理财/文化消费/社区公共）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非遗体验馆/老字号工坊渠道；与227题（文创购买）区分：聚焦手作体验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🔶非遗体验研学（文化和旅游部非遗旅游政策需核验）；✅"非遗+旅游"融合政策背景；✅研学游2亿人次（已核验）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