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410. “财商第一课，校园理财教育”——大学生财商教育与理财消费研究（第十四批）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研究对象：在校大学生（有生活费管理/理财经历）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核心变量/研究问题：理财知识来源、生活费规划、校园贷风险认知、基金/黄金等产品接触、财商课程需求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高校渠道（样本易得）；评委关注青年教育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✅大学生消费金融45%用于发展型支出（第九轮证据）；🔶校园财商教育（央行"金融知识进校园"活动）；✅《防范校园贷风险》监管（背景）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