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436. “红色研学，青春打卡”——红色旅游、红色研学消费行为研究（第十五批）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第十五批（宠物服务×即时便利×乡村农业×文旅新场景×大健康2.0×教育新职业）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研究对象：参加过红色旅游/红色研学（旧址/纪念馆/重走长征）的学生及家长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核心变量/研究问题：参与形式（党团活动/亲子研学）、内容吸引力（沉浸式/讲解）、花费、教育获得感、创新期待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所属选题库：正大杯第十五批30个特色选题（宠物服务/即时便利/乡村农业/文旅新场景/大健康2.0/教育新职业）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红色景区/学校党团渠道；政策热点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🔶红色旅游规模（文旅部数据需核验）；✅建党百年红色旅游政策（中办国办文件背景）；✅研学游2亿人次（已核验）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