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447. “技能证书，敲门砖还是智商税”——职业技能等级证书报考与就业价值研究（第十五批）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第十五批（宠物服务×即时便利×乡村农业×文旅新场景×大健康2.0×教育新职业）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研究对象：报考过职业技能等级证书（健康管理师/电工/保育员等）的考生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核心变量/研究问题：报考动机、培训费用、考证通过率、证书对就业帮助、防骗经历、投入产出评价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所属选题库：正大杯第十五批30个特色选题（宠物服务/即时便利/乡村农业/文旅新场景/大健康2.0/教育新职业）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职业培训机构/人社部门备案机构渠道；与375题（考证经济）区分：聚焦等级认定制度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✅技能人才评价体系改革（人社部备案第三方发证）；✅证书全国联网可查（第十三轮证据）；🔶职业技能培训市场规模（行业报告需核验）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