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448. “市民艺术夜校，成人美育”——市民艺术夜校、成人美育课程消费研究（第十五批）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研究对象：报名市民艺术夜校/成人兴趣班（乐器/舞蹈/美术）的上班族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核心变量/研究问题：报名动机（兴趣/解压/社交）、课程费用（普惠定价）、抢课难、学习坚持率、获得感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研究阶段：中期（现象前沿）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市民夜校渠道（上海市民艺术夜校模式）；与91题（青年夜校）区分：聚焦艺术美育供给侧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🔶市民艺术夜校"一课难求"（上海等城市媒体报道需引原文）；✅公共文化服务均等化（文化部政策背景）；✅情绪消费与悦己（已核验）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