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500. “新年Flag，仪式感与行动力”——年度规划、新年仪式消费（手账、计划本、目标打卡）研究（第十七批）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第十七批（数字生活×城市服务×银发代际2.0×品质生活）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研究对象：做年度计划/立Flag（手账/App打卡/习惯养成）的 18—35 岁青年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核心变量/研究问题：计划方式（手账/App）、Flag类型（学习/健身/存钱）、执行率、打卡社群、仪式感消费、复盘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研究阶段：中期（年末年初调研佳）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所属选题库：正大杯第十七批20个特色选题（数字生活/城市服务/银发代际2.0/品质生活小确幸·收官批）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线上问卷+手账社群；收官收官题，呼应"全程指导"定位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🔶"新年Flag"社交媒体现象；✅手账消费（413题衔接）；✅"悦己与成长消费"（情绪经济已核验）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