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91. “夜校经济，青年充电”——青年夜校参与动机、持续意愿与商圈带动研究（第三批）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第四批（新奇特消费×AI新硬件×陪伴服务×文化现象×数字治理）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研究对象：参加过或有意向参加青年夜校/市民夜校的 18—40 岁青年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核心变量/研究问题：参与动机（兴趣/社交/职业技能）、课程偏好、付费意愿、持续参与、夜校带动商圈消费情况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研究阶段：中期（参与行为+带动效应）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所属选题库：正大杯第四批30个特色创新选题（新奇特/AI硬件/陪伴/文化/数字治理）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夜校点位（党群服务中心/青年中心/文化馆）现场问卷；特色在于"学习场景转消费场景"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全国超200城推出青年夜校（群众网）；✅2025年上海951个夜校/2600门课程/覆盖15万人次（上观）；✅上海市民艺术夜校报名1分钟抢光71门课（澎湃）；✅每课普惠定价50—80元、纳入上海2026为民办实事（百度百科）；✅浦东团区委《青年夜校与青春经济转换路径研究》：夜校与商业街区深度融合、学习场景转化为消费场景（上海市政府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