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107. “数字游民，旅居办公”——数字游民乡村、景区旅居办公生活方式参与意愿研究（第三批）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第四批（新奇特消费×AI新硬件×陪伴服务×文化现象×数字治理）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研究对象：18—40岁可远程办公的青年（含自由职业/自媒体）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核心变量/研究问题：参与意愿、目的地偏好（大理/安吉等）、社区配套需求、月支出预算、返乡/旅居时长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所属选题库：正大杯第四批30个特色创新选题（新奇特/AI硬件/陪伴/文化/数字治理）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远程办公社群/数字游民社区渠道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🔶大理等数字游民聚集地公开报道（媒体线索，具体人数需核实）；🔶全球数字游民规模增长（MBO Partners等国际报告，🔶需下载原文）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