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136. “工厂透明，眼见为实”——透明工厂、开放生产线的品牌信任与购买意愿研究（第五+六批）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研究对象：关注食品安全/消费品生产的成年消费者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核心变量/研究问题：透明生产关注度、信任提升、品牌好感、参观意愿、溢价接受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消费品企业开放日活动渠道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✅"生产即展示"理念（方大达钢案例）；✅工业旅游政策鼓励展示生产流程（七部门通知）；🔶透明工厂营销案例（媒体）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