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149. “安静咖啡馆，办公新场景”——咖啡馆办公、自习（SOHO族）消费行为研究（第五+六批）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第五+六批（银发康养×宠物金融×工业文旅×祈福静经济×卡牌电竞×社区餐饮×认养农业×情绪茶饮）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研究对象：常在咖啡馆办公/自习的自由职业者、学生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核心变量/研究问题：使用频次、时段消费、消费金额、座位舒适度、店家包容度感知、满意度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所属选题库：正大杯第五+六批60个特色选题（银发/宠物/工业文旅/祈福/静经济/卡牌/电竞/社区/认养/茶饮）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独立咖啡馆/连锁咖啡门店现场问卷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✅咖啡市场2025年3549亿元、人均28.57杯（第二批已核验）；🔶"咖啡馆办公"中外媒体讨论（需引原文）；✅共享工位降温背景（羊城晚报）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