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187. “老专家返聘，企业请回宝”——企业退休返聘与银发用工制度研究（补充更新批）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第七批（181-210）·补充更新（2026-10 清理重复/过气后顶替编号）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研究对象：返聘老专家/技师的企业 HR 及返聘人员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核心变量/研究问题：返聘动因（经验传承/缺人）、岗位类型（顾问/导师/技师）、薪酬与双重劳动关系、权益保障、经验价值评价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补充更新批（顶替清理编号，详见批次总览）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企业HR/行业协会渠道；与495（银发求职平台）区分：聚焦企业端返聘制度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✅《超龄劳动者权益保障暂行规定》（第八轮证据）；✅延迟退休政策落地（2025年起）；🔶返聘实践案例（制造业/科研院所媒体）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