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198. “收纳整理师，断舍离管家”——收纳整理、衣橱管理服务需求与付费意愿研究（第七批）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研究对象：对家庭整理收纳有兴趣的都市家庭/独居青年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核心变量/研究问题：整理痛点、服务了解、价格接受、上门vs线上课程、复购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家政平台/家居社群渠道；与84题（家政）区分：聚焦整理收纳细分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🔶收纳整理师为近两年新兴职业（人社部新职业目录背景、媒体报道）；✅家政服务业9部门新政（第三批已核验）；✅"断舍离/极简"生活趋势（媒体）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