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307. “AI 律师、会计，专业服务数字化”——AI在专业服务（法律、财务、翻译）中的应用接受度研究（第十一批）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第十一批（青少年数字保护×AI新应用×全屋智能×银发AI风险×数字素养×数字民生）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研究对象：小微企业主、自由职业者、学生（用过AI写合同/记账/翻译）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核心变量/研究问题：使用场景、效率提升、专业准确性信任、责任归属认知（出错算谁的）、替代担忧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所属选题库：正大杯第十一批30个特色选题（青少年数字保护/AI新应用/全屋智能/银发AI风险/数字素养/数字民生）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创业者社群/办公室人群渠道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🔶AI专业服务应用（行业报告需核验）；✅AI渗透重点行业超80%（国家发改委，第九轮证据）；✅生成式AI用户5.15亿（CNNIC）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