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338. “跑外卖还是开网约车”——新就业形态从业者职业选择与收入分化研究（第十二批）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第十二批（居住城市更新×新就业形态×银发2.0×文化娱乐×出行车辆×商业新形态）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研究对象：外卖骑手、网约车司机（含兼职/全职）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核心变量/研究问题：入行动机、全职vs兼职、日均单量与收入、竞争感知（饱和预警）、职业规划、幸福度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所属选题库：正大杯第十二批30个特色选题（居住城市更新/新就业形态/银发2.0/文化娱乐/出行车辆/商业新形态）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骑手/司机社群、配送站点渠道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✅外卖和网约车从业者超5300万（两年涨约1000万）；✅部分城市已现饱和迹象（深圳预警、单车日均单量下滑）；✅货拉拉2026"全民就业季"363个城市提供70万个灵活就业机会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