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339. “斜杠青年，副业进行时”——青年副业经济、多重职业消费行为研究（第十二批）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第十二批（居住城市更新×新就业形态×银发2.0×文化娱乐×出行车辆×商业新形态）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研究对象：有副业（自媒体/摆摊/兼职/技能接单）的 18—35 岁青年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核心变量/研究问题：副业类型、动机（增收/兴趣/焦虑）、时间投入、月收入、影响主业风险、倦怠与持续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所属选题库：正大杯第十二批30个特色选题（居住城市更新/新就业形态/银发2.0/文化娱乐/出行车辆/商业新形态）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线上问卷+校园/职场社群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🔶副业经济（媒体"副业热"报道）；✅灵活就业超2亿背景；✅AI绘画副业60%月入&lt;800元（第十批证据，副业内卷实证）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