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378. “35岁危机，转型去哪”——35岁职场危机感知与职业转型研究（第十三批）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第十三批（绿色能源循环×青年婚恋家庭×健康服务×职场工作×特殊群体×城市新体验）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研究对象：30—45岁职场人（尤其互联网/制造）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核心变量/研究问题：年龄压力感知、瓶颈领域、转型方向（创业/副业/考编/技能）、收入变化、职业安全感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研究阶段：中期（社会热议）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所属选题库：正大杯第十三批30个特色选题（绿色能源循环/青年婚恋家庭/健康服务/职场工作/特殊群体/城市新体验）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招聘平台用户+职场社群；共鸣性强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🔶"35岁门槛"讨论（媒体/两会议题）；✅延迟退休政策（2025年起实施背景）；✅灵活就业与终身职业技能培训政策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