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380. “年假去哪，错峰旅行”——带薪休假落实与年假旅行消费研究（第十三批）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第十三批（绿色能源循环×青年婚恋家庭×健康服务×职场工作×特殊群体×城市新体验）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研究对象：有带薪年假的职场人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核心变量/研究问题：年假天数与落实、休假用途（旅行/宅家）、年假旅行预算、错峰出游、与节假日对比、"假难请"痛点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所属选题库：正大杯第十三批30个特色选题（绿色能源循环/青年婚恋家庭/健康服务/职场工作/特殊群体/城市新体验）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职场人线上问卷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🔶带薪休假落实率（人社部/学术数据需核验）；✅鼓励错峰休假、弹性作息政策（国务院《关于进一步促进旅游投资和消费的若干意见》背景）；✅假日经济消费数据（文旅部🔶）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