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393. “夜市摆摊，青年新创业”——夜市、市集摊主创业动机与经营研究（第十四批）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第十四批（夜间经济×老字号焕新×惠民保障×贵金属理财×文化消费×社区公共）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研究对象：夜市/后备箱市集/临时市集的摊主（20—40岁为主）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核心变量/研究问题：入市动机（创业/副业/体验）、品类选择、摊位成本（租金/物料）、日营业额、客流与竞争、持续意愿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所属选题库：正大杯第十四批30个特色选题（夜间经济/老字号焕新/惠民保障/贵金属理财/文化消费/社区公共）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夜市/市集现场访谈；与96题（市集消费者）区分：聚焦摊主供给侧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✅120座城市夜间文旅消费热度同比上涨47%（2026暑期）；🔶后备箱集市现象（媒体多次报道需引原文）；✅夜经济政策支持（合肥"徽动消费"夜经济消费季，国际在线）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