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45. “AI 上岗，人机协同”——职场人士生成式 AI 办公工具采纳意愿与效率感知研究（第二批）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第二批（情绪经济×AI×乡村振兴×智慧农业）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研究对象：25—45 岁办公室白领/专业技术人员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核心变量/研究问题：感知有用性、感知易用性、组织支持、使用频率、效率感知、工作满意度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所属选题库：正大杯第二批30个热点选题（情绪经济/AI/乡村振兴/智慧农业）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线上问卷（职场社群）可触达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✅AIGC 核心产业规模 1.2 万亿元、企业超 6200 家（深联产研）；✅生成式 AI 用户 5.15 亿、半年翻番（CNNIC）；🔶AI 赛道 2026 上半年融资 1203 起、超 3000 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