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051. “乡村伴手礼，土特产出圈”——乡村农特产品伴手礼品牌化消费研究（补充更新批）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第二批（31-60）·补充更新（2026-10 清理重复/过气后顶替编号）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研究对象：购买过乡村旅游伴手礼/农特产品礼盒的游客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核心变量/研究问题：购买动机（送礼/纪念）、包装颜值与"土气"矛盾、价格带、产地信任（防伪溯源）、复购渠道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补充更新批（顶替清理编号，详见批次总览）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乡村旅游景区+电商渠道；与399（城市伴手礼）区分：聚焦乡村农特产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🔶农产品礼盒市场（电商平台数据需核验）；✅农村电商破3万亿（第二批证据）；✅"一村一品"政策（432题衔接）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