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169. “云上认养，田间有主”——城市居民认养农业（认养果树、家禽、菜地）参与意愿研究（第五+六批）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第五+六批（银发康养×宠物金融×工业文旅×祈福静经济×卡牌电竞×社区餐饮×认养农业×情绪茶饮）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研究对象：城市家庭/亲子人群（对农产品溯源感兴趣）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核心变量/研究问题：参与动机（食品安全/亲子体验/助农）、认养品类、价格接受、远程监控期望、参与意愿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研究阶段：早期+中期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所属选题库：正大杯第五+六批60个特色选题（银发/宠物/工业文旅/祈福/静经济/卡牌/电竞/社区/认养/茶饮）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亲子社群/社区团购渠道；紧扣"云养经济"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✅全国认养农业预计突破1200亿元、年增速超25%；✅"认养农业小程序"2026年约84.3亿元、覆盖超2100万家庭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