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171. “共享菜园，都市农夫”——城市共享菜园、阳台农业体验消费研究（第五+六批）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第五+六批（银发康养×宠物金融×工业文旅×祈福静经济×卡牌电竞×社区餐饮×认养农业×情绪茶饮）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研究对象：租过共享菜园或进行阳台种菜的都市居民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核心变量/研究问题：租地动机（减压/亲子/食材）、年租金接受、运营服务满意度、续租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所属选题库：正大杯第五+六批60个特色选题（银发/宠物/工业文旅/祈福/静经济/卡牌/电竞/社区/认养/茶饮）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共享菜园园区现场+都市农业社群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🔶山东超半数共享菜园亏损、纯收地租盈利不到10%（行业报道）；✅认养农业1200亿大盘背景；✅都市农业政策（乡村振兴/农业现代化规划）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