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174. “庭院经济，方寸生金”——农民庭院经济、农宅民宿化经营意愿研究（第五+六批）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第五+六批（银发康养×宠物金融×工业文旅×祈福静经济×卡牌电竞×社区餐饮×认养农业×情绪茶饮）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研究对象：农村庭院户主（有意发展庭院种养/庭院民宿/农家乐）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核心变量/研究问题：经营意愿、启动资金、销售渠道、政策支持需求、风险顾虑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研究阶段：中期（供给侧）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所属选题库：正大杯第五+六批60个特色选题（银发/宠物/工业文旅/祈福/静经济/卡牌/电竞/社区/认养/茶饮）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乡镇村委渠道入户问卷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✅2026年中央一号文件支持庭院经济（政策背景，🔶具体条款待引）；✅乡村全面振兴规划（背景）；✅返乡创业超1300万人（第二批已核验）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