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270. “县域连锁，下沉生意”——县域连锁商业、下沉市场消费升级研究（第九批）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研究对象：县域居民（体验过连锁品牌下沉：奶茶/快餐/零售）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核心变量/研究问题：品牌偏好、消费升级感知（vs当地小店）、价格接受、县域商业生态评价、需求缺口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县域商圈现场调研；与58题（县域青年消费）区分：聚焦品牌下沉供给端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✅2026上半年乡村消费品零售额33216亿元（+2.5%，第二批已核验）；✅县域商业体系建设（商务部政策）；🔶"县城咖啡/奶茶下沉"媒体现象（需引原文）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