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287. “快递进村，最后一公里”——农村寄递物流（快递进村、客货邮）消费研究（第十批）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第十批（医疗健康×婚庆节庆×出行通勤×乡村县域×数字文旅银发×特色新消费）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研究对象：农村网购居民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核心变量/研究问题：网购频次、取件便利（代收点/村站）、快递时效、农产品上行需求、满意度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所属选题库：正大杯第十批30个特色选题（医疗健康/婚庆节庆/出行通勤/乡村县域/数字文旅银发/特色新消费）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村级快递站/乡镇网点现场调研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✅"快递进村"工程（国家邮政局政策）；✅农村网络零售额2025年破3万亿（第二批已核验）；🔶客货邮融合站点数量（国家邮政局数据需核验）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