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431. “稻田里的生意经”——稻田经济、农旅融合（稻田画、稻田咖啡、认养）消费研究（第十五批）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第十五批（宠物服务×即时便利×乡村农业×文旅新场景×大健康2.0×教育新职业）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研究对象：参与过稻田/农田体验（稻田画打卡/稻香咖啡/插秧体验）的游客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核心变量/研究问题：参与动机（亲子/出片/怀旧）、项目类型、消费支出、农业科普收获、复游意愿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研究阶段：早期+中期（特色农旅）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所属选题库：正大杯第十五批30个特色选题（宠物服务/即时便利/乡村农业/文旅新场景/大健康2.0/教育新职业）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农旅项目现场+OTA渠道；与169题（认养农业）区分：聚焦稻田场景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🔶稻田经济（"稻田咖啡/稻田画"媒体现象需引原文）；✅乡村旅游人次与收入（文旅部数据🔶需核验）；✅认养农业新模式（第五六轮已核验）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