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0"/>
        <w:jc w:val="center"/>
      </w:pPr>
      <w:r>
        <w:rPr>
          <w:rFonts w:ascii="宋体" w:hAnsi="宋体" w:eastAsia="宋体"/>
          <w:b/>
          <w:color w:val="6663B2"/>
          <w:sz w:val="30"/>
        </w:rPr>
        <w:t>432. “一村一品，土货品牌化”——地标农产品、一村一品品牌消费研究（第十五批）</w:t>
      </w:r>
    </w:p>
    <w:p>
      <w:pPr>
        <w:spacing w:after="240"/>
        <w:jc w:val="center"/>
      </w:pPr>
      <w:r>
        <w:rPr>
          <w:rFonts w:ascii="宋体" w:hAnsi="宋体" w:eastAsia="宋体"/>
          <w:b w:val="0"/>
          <w:color w:val="837292"/>
          <w:sz w:val="20"/>
        </w:rPr>
        <w:t>正大杯选题档案 · 第十五批（宠物服务×即时便利×乡村农业×文旅新场景×大健康2.0×教育新职业）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一、选题基本信息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研究对象：购买过地理标志农产品（五常大米/阳澄湖大闸蟹等）的消费者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核心变量/研究问题：购买渠道、真伪担忧（假冒地标）、溢价接受、产地溯源需求、品牌信任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研究阶段：中期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所属选题库：正大杯第十五批30个特色选题（宠物服务/即时便利/乡村农业/文旅新场景/大健康2.0/教育新职业）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二、可行性说明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电商平台+农产品展销渠道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三、参考来源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🔶地理标志产品数量（国家知识产权局数据需核验）；✅"一村一品"示范村镇（农业农村部政策背景）；✅农村电商破3万亿（第二批已核验）</w:t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提示：✅=官方政策/权威媒体可直接引用；🔶=行业报告/媒体线索，参赛前须下载原文核对。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