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47. “村超村 BA，流量变留量”——乡村体育赛事带动文旅消费的效应与游客满意度研究（第二批）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第二批（情绪经济×AI×乡村振兴×智慧农业）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研究对象：村超/村 BA 观众与外地游客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核心变量/研究问题：赛事体验、消费支出（食宿购）、停留时长、重游意愿、带动效应感知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研究阶段：成熟期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所属选题库：正大杯第二批30个热点选题（情绪经济/AI/乡村振兴/智慧农业）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贵州榕江/台江等赛事现场+线上观众双渠道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 村超参赛球队 137 支，2023 年以来带动游客超 2745 万人次、旅游综合收入破 310 亿元、新设市场主体 9779 户；✅贵州 2026 上半年赛事拉动消费超 20 亿元、村超品牌收益 51% 反哺村集体（中国就业网）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