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48. “村咖飘香，县域新景”——乡村咖啡馆消费场景与游客消费意愿研究（第二批）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第二批（情绪经济×AI×乡村振兴×智慧农业）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研究对象：乡村咖啡馆消费者（游客+本地青年）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核心变量/研究问题：场景吸引力、情绪价值、消费金额、满意度、推荐意愿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所属选题库：正大杯第二批30个热点选题（情绪经济/AI/乡村振兴/智慧农业）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青岛/浙江/江苏等村咖集聚地可实地调研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✅咖啡产业 2025 年规模 3549 亿元、人均年消费 28.57 杯、6—15 元价格带为主力；✅青岛崂山区 170 多家村咖、西海岸新区 65 家以上；✅2026 咖饮市场规模有望达 1590 亿元（新华网）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