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50. “归雁创业，沃土生金”——返乡创业青年创业意愿与政策支持感知研究（第二批）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研究对象：返乡创业青年/有返乡意向的青年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核心变量/研究问题：创业意愿、政策感知（补贴/贷款/场地）、资源可得性、风险感知、创业行动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各地"返乡创业小老板"工程、农创园/实践站点可调研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✅全国返乡入乡创业人员超 1300 万（截至 2025 年 7 月）；✅一次性创业补贴 5000 元/人（湖北洪湖等）、创业担保贷款个人最高 30 万元；✅贵州"返乡创业小老板"工程每年推动 1 万以上返乡人员创业、带动就业 3 万人（中国就业网 2026-06）；✅重庆《青年创业促进条例》2026-05-27 通过（全国首个省级青年创业立法）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