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52. “冷链进村，鲜达万家”——农村社区生鲜冷链配送使用体验与需求研究（第二批）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研究对象：乡镇/农村居民（近一年网购生鲜者）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核心变量/研究问题：配送质量感知、价格敏感度、使用频率、满意度、需求缺口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县域电商/快递网点渠道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✅农村网络零售额 2025 年首次突破 3 万亿元；✅抖音日均 3235 万单农特产品包裹（产地冷藏/冷链基建）；✅2026 中央一号文件部署"加强产地预冷、仓储保鲜、分拣加工设施建设"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