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54. “智慧大棚，数字种田”——新型农业经营主体智慧农业设备采纳意愿研究（第二批）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研究对象：种植大户/合作社/家庭农场经营者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核心变量/研究问题：感知有用性、感知易用性、成本收益预期、技术自我效能、采纳意愿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农业合作社/职业农民培训渠道可触达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 中央一号文件"实施数字乡村高质量发展行动"；✅山东省《关于大力发展智慧农业的实施意见》：推广智能农业机械化、水肥一体化智慧管控，到 2030 年粮油作物水肥一体化应用 2000 万亩；✅智研咨询：AI+智慧农业 2024 年约 1050 亿元、2025 年约 1200 亿元、2026 年预计 1380 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