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55. “无人机巡田，精准农事”——农户植保无人机使用行为与采纳意愿研究（第二批）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第二批（情绪经济×AI×乡村振兴×智慧农业）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研究对象：规模化种植农户/农机合作社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核心变量/研究问题：使用障碍感知、效率感知、补贴政策感知、采纳意愿、使用满意度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所属选题库：正大杯第二批30个热点选题（情绪经济/AI/乡村振兴/智慧农业）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植保无人机服务商/农资经销商渠道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✅8 项农业人工智能行业标准 2026 年 6 月立项（覆盖智能装备、作物监测、农业大模型）（红安网）；✅山东"北斗+智慧农业"支撑粮油单产提升；🔶全国农机化水平与植保无人机保有量数据待下载核对（各地农业农村厅）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