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56. “数字乡村，治理提效”——村民对数字乡村服务平台的使用意愿与满意度研究（第二批）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研究对象：常住村民（村干部+普通村民）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核心变量/研究问题：数字素养、平台有用性、参与度、满意度、治理效能感知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数字乡村试点县（村务平台/小程序）可调研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 中央一号文件"数字乡村高质量发展行动"；✅《加快农业农村现代化"十五五"规划》（2026-09-07）统筹农业农村数据基础设施；✅乡村建设项目库 2026 上半年新增入库超 30 万个、落实资金近 1000 亿元（国新办）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