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57. “农技云课，手机学堂”——高素质农民数字技能培训需求与参与意愿研究（第二批）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研究对象：接受过高素质农民培训的农民/新农人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核心变量/研究问题：培训需求、数字化技能自我效能、参与意愿、培训效果感知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各省"高素质农民培育工程""头雁"项目渠道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✅河南 2026 惠农政策：高素质农民培育工程覆盖电商直播、数智农业方向，重点吸纳青年农民；✅温州"青马工程"农村班；✅AI 产业人才缺口超 500 万（延伸至农业 AI 人才）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